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C58F" w14:textId="20827424" w:rsidR="00413EE9" w:rsidRPr="007D511C" w:rsidRDefault="00413EE9" w:rsidP="007D511C">
      <w:pPr>
        <w:autoSpaceDE w:val="0"/>
        <w:autoSpaceDN w:val="0"/>
        <w:adjustRightInd w:val="0"/>
        <w:snapToGrid w:val="0"/>
        <w:spacing w:beforeLines="20" w:before="62"/>
        <w:jc w:val="center"/>
        <w:rPr>
          <w:rFonts w:ascii="Times New Roman" w:eastAsia="宋体" w:hAnsi="Times New Roman" w:cs="Times New Roman"/>
          <w:kern w:val="0"/>
          <w:sz w:val="32"/>
          <w:szCs w:val="32"/>
        </w:rPr>
      </w:pPr>
      <w:proofErr w:type="spellStart"/>
      <w:r w:rsidRPr="007D511C">
        <w:rPr>
          <w:rFonts w:ascii="Times New Roman" w:eastAsia="宋体" w:hAnsi="Times New Roman" w:cs="Times New Roman"/>
          <w:kern w:val="0"/>
          <w:sz w:val="32"/>
          <w:szCs w:val="32"/>
        </w:rPr>
        <w:t>Scutellarein</w:t>
      </w:r>
      <w:proofErr w:type="spellEnd"/>
      <w:r w:rsidRPr="007D511C">
        <w:rPr>
          <w:rFonts w:ascii="Times New Roman" w:eastAsia="宋体" w:hAnsi="Times New Roman" w:cs="Times New Roman"/>
          <w:kern w:val="0"/>
          <w:sz w:val="32"/>
          <w:szCs w:val="32"/>
        </w:rPr>
        <w:t xml:space="preserve"> attenuates atopic dermatitis by selectively</w:t>
      </w:r>
      <w:r w:rsidR="00426800" w:rsidRPr="007D511C">
        <w:rPr>
          <w:rFonts w:ascii="Times New Roman" w:eastAsia="宋体" w:hAnsi="Times New Roman" w:cs="Times New Roman" w:hint="eastAsia"/>
          <w:kern w:val="0"/>
          <w:sz w:val="32"/>
          <w:szCs w:val="32"/>
        </w:rPr>
        <w:t xml:space="preserve"> </w:t>
      </w:r>
      <w:r w:rsidRPr="007D511C">
        <w:rPr>
          <w:rFonts w:ascii="Times New Roman" w:eastAsia="宋体" w:hAnsi="Times New Roman" w:cs="Times New Roman"/>
          <w:kern w:val="0"/>
          <w:sz w:val="32"/>
          <w:szCs w:val="32"/>
        </w:rPr>
        <w:t>inhibiting transient receptor potential vanilloid 3 channels</w:t>
      </w:r>
    </w:p>
    <w:p w14:paraId="10CF0F12" w14:textId="0B4BBE79" w:rsidR="00413EE9" w:rsidRPr="007D511C" w:rsidRDefault="00413EE9" w:rsidP="007D511C">
      <w:pPr>
        <w:autoSpaceDE w:val="0"/>
        <w:autoSpaceDN w:val="0"/>
        <w:adjustRightInd w:val="0"/>
        <w:snapToGrid w:val="0"/>
        <w:spacing w:beforeLines="20" w:before="62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proofErr w:type="spellStart"/>
      <w:r w:rsidRPr="007D511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Yujing</w:t>
      </w:r>
      <w:proofErr w:type="spellEnd"/>
      <w:r w:rsidRPr="007D511C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W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>ang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1</w:t>
      </w:r>
      <w:r w:rsidR="00426800" w:rsidRPr="007D511C">
        <w:rPr>
          <w:rFonts w:ascii="Times New Roman" w:eastAsia="宋体" w:hAnsi="Times New Roman" w:cs="Times New Roman" w:hint="eastAsia"/>
          <w:kern w:val="0"/>
          <w:sz w:val="20"/>
          <w:szCs w:val="20"/>
        </w:rPr>
        <w:t>,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 xml:space="preserve"> YeYu</w:t>
      </w:r>
      <w:r w:rsidR="00C125A9" w:rsidRPr="007D511C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1</w:t>
      </w:r>
      <w:r w:rsidR="00426800" w:rsidRPr="007D511C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 xml:space="preserve"> Fang Zhao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1</w:t>
      </w:r>
      <w:r w:rsidR="00426800" w:rsidRPr="007D511C">
        <w:rPr>
          <w:rFonts w:ascii="Times New Roman" w:eastAsia="宋体" w:hAnsi="Times New Roman" w:cs="Times New Roman"/>
          <w:kern w:val="0"/>
          <w:sz w:val="20"/>
          <w:szCs w:val="20"/>
        </w:rPr>
        <w:t>,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 xml:space="preserve"> Michael X. Zhu</w:t>
      </w:r>
      <w:r w:rsidR="00C125A9" w:rsidRPr="007D511C">
        <w:rPr>
          <w:rFonts w:ascii="Times New Roman" w:eastAsia="宋体" w:hAnsi="Times New Roman" w:cs="Times New Roman" w:hint="eastAsia"/>
          <w:kern w:val="0"/>
          <w:sz w:val="20"/>
          <w:szCs w:val="20"/>
          <w:vertAlign w:val="superscript"/>
        </w:rPr>
        <w:t>2</w:t>
      </w:r>
      <w:r w:rsidR="00426800" w:rsidRPr="007D511C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>Zhengyu</w:t>
      </w:r>
      <w:proofErr w:type="spellEnd"/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 xml:space="preserve"> Cao</w:t>
      </w:r>
      <w:r w:rsidRPr="007D511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1</w:t>
      </w:r>
      <w:r w:rsidR="00426800" w:rsidRPr="007D511C"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*</w:t>
      </w:r>
    </w:p>
    <w:p w14:paraId="607FA552" w14:textId="386FF60B" w:rsidR="00413EE9" w:rsidRPr="007D511C" w:rsidRDefault="00413EE9" w:rsidP="007D511C">
      <w:pPr>
        <w:autoSpaceDE w:val="0"/>
        <w:autoSpaceDN w:val="0"/>
        <w:adjustRightInd w:val="0"/>
        <w:snapToGrid w:val="0"/>
        <w:spacing w:beforeLines="20" w:before="62"/>
        <w:jc w:val="left"/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</w:pPr>
      <w:r w:rsidRPr="007D511C">
        <w:rPr>
          <w:rFonts w:ascii="Times New Roman" w:eastAsia="宋体" w:hAnsi="Times New Roman" w:cs="Times New Roman"/>
          <w:i/>
          <w:iCs/>
          <w:kern w:val="0"/>
          <w:sz w:val="20"/>
          <w:szCs w:val="20"/>
          <w:vertAlign w:val="superscript"/>
        </w:rPr>
        <w:t>1</w:t>
      </w:r>
      <w:r w:rsidRPr="007D511C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State Key Laboratory of Natural Medicines and Department of TCM Pharmacology, School of Traditional Chinese Pharmacy, China Pharmaceutical University,</w:t>
      </w:r>
      <w:r w:rsidR="00426800" w:rsidRPr="007D511C">
        <w:rPr>
          <w:rFonts w:ascii="Times New Roman" w:eastAsia="宋体" w:hAnsi="Times New Roman" w:cs="Times New Roman" w:hint="eastAsia"/>
          <w:i/>
          <w:iCs/>
          <w:kern w:val="0"/>
          <w:sz w:val="20"/>
          <w:szCs w:val="20"/>
        </w:rPr>
        <w:t xml:space="preserve"> </w:t>
      </w:r>
      <w:r w:rsidRPr="007D511C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Nanjing, China</w:t>
      </w:r>
    </w:p>
    <w:p w14:paraId="0CFCEE82" w14:textId="574AC1CB" w:rsidR="00413EE9" w:rsidRPr="007D511C" w:rsidRDefault="00426800" w:rsidP="007D511C">
      <w:pPr>
        <w:autoSpaceDE w:val="0"/>
        <w:autoSpaceDN w:val="0"/>
        <w:adjustRightInd w:val="0"/>
        <w:snapToGrid w:val="0"/>
        <w:spacing w:beforeLines="20" w:before="62"/>
        <w:jc w:val="left"/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</w:pPr>
      <w:r w:rsidRPr="007D511C">
        <w:rPr>
          <w:rFonts w:ascii="Times New Roman" w:eastAsia="宋体" w:hAnsi="Times New Roman" w:cs="Times New Roman"/>
          <w:i/>
          <w:iCs/>
          <w:kern w:val="0"/>
          <w:sz w:val="20"/>
          <w:szCs w:val="20"/>
          <w:vertAlign w:val="superscript"/>
        </w:rPr>
        <w:t>2</w:t>
      </w:r>
      <w:r w:rsidR="00413EE9" w:rsidRPr="007D511C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Department of Integrative Biology and Pharmacology, McGovern Medical School, The University of Texas Health Science Center at Houston, Houston, Texas, USA</w:t>
      </w:r>
    </w:p>
    <w:p w14:paraId="3BBA4D6B" w14:textId="6B9ABE05" w:rsidR="00413EE9" w:rsidRPr="007D511C" w:rsidRDefault="00426800" w:rsidP="007D511C">
      <w:pPr>
        <w:autoSpaceDE w:val="0"/>
        <w:autoSpaceDN w:val="0"/>
        <w:adjustRightInd w:val="0"/>
        <w:snapToGrid w:val="0"/>
        <w:spacing w:beforeLines="20" w:before="62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7D511C">
        <w:rPr>
          <w:rFonts w:ascii="Times New Roman" w:eastAsia="宋体" w:hAnsi="Times New Roman" w:cs="Times New Roman"/>
          <w:kern w:val="0"/>
          <w:sz w:val="20"/>
          <w:szCs w:val="20"/>
        </w:rPr>
        <w:t>*</w:t>
      </w:r>
      <w:r w:rsidR="00413EE9" w:rsidRPr="007D511C">
        <w:rPr>
          <w:rFonts w:ascii="Times New Roman" w:eastAsia="宋体" w:hAnsi="Times New Roman" w:cs="Times New Roman"/>
          <w:kern w:val="0"/>
          <w:sz w:val="20"/>
          <w:szCs w:val="20"/>
        </w:rPr>
        <w:t>Correspondence</w:t>
      </w:r>
    </w:p>
    <w:p w14:paraId="437CEE90" w14:textId="2971BC26" w:rsidR="00426800" w:rsidRPr="00E43506" w:rsidRDefault="007D511C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color w:val="0000FF"/>
          <w:kern w:val="0"/>
          <w:szCs w:val="21"/>
        </w:rPr>
      </w:pPr>
      <w:hyperlink r:id="rId4" w:history="1">
        <w:r w:rsidR="00413EE9" w:rsidRPr="00426800">
          <w:rPr>
            <w:rStyle w:val="a3"/>
            <w:rFonts w:ascii="Times New Roman" w:eastAsia="宋体" w:hAnsi="Times New Roman" w:cs="Times New Roman"/>
            <w:kern w:val="0"/>
            <w:szCs w:val="21"/>
          </w:rPr>
          <w:t>zycao@cpu.edu.cn</w:t>
        </w:r>
      </w:hyperlink>
      <w:r w:rsidRPr="00E43506">
        <w:rPr>
          <w:rFonts w:ascii="Times New Roman" w:eastAsia="宋体" w:hAnsi="Times New Roman" w:cs="Times New Roman"/>
          <w:color w:val="0000FF"/>
          <w:kern w:val="0"/>
          <w:szCs w:val="21"/>
        </w:rPr>
        <w:t xml:space="preserve"> </w:t>
      </w:r>
    </w:p>
    <w:p w14:paraId="4EBDDD42" w14:textId="77777777" w:rsidR="00645CBC" w:rsidRDefault="00413EE9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kern w:val="0"/>
          <w:szCs w:val="21"/>
        </w:rPr>
      </w:pPr>
      <w:r w:rsidRPr="007D511C">
        <w:rPr>
          <w:rFonts w:ascii="Times New Roman" w:eastAsia="宋体" w:hAnsi="Times New Roman" w:cs="Times New Roman"/>
          <w:b/>
          <w:bCs/>
          <w:kern w:val="0"/>
          <w:sz w:val="22"/>
        </w:rPr>
        <w:t>Background and Purpose:</w:t>
      </w:r>
      <w:r w:rsidRPr="00426800"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Atopic dermatitis (AD) is one of the most common chronic inflammatory cutaneous diseases with unmet clinical needs. As a common ingredient found in several medicinal herbs with efficacy on cutaneous inflammatory diseases,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Scutellarein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(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) has been shown to possess anti-inflammatory and anti-proliferative activities. We aimed to evaluate the therapeutic efficacy of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against AD and its underlying molecular mechanism.</w:t>
      </w:r>
      <w:r w:rsidRPr="00426800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3786F144" w14:textId="77777777" w:rsidR="00645CBC" w:rsidRPr="007D511C" w:rsidRDefault="00413EE9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kern w:val="0"/>
          <w:sz w:val="22"/>
        </w:rPr>
      </w:pPr>
      <w:r w:rsidRPr="007D511C">
        <w:rPr>
          <w:rFonts w:ascii="Times New Roman" w:eastAsia="宋体" w:hAnsi="Times New Roman" w:cs="Times New Roman"/>
          <w:b/>
          <w:bCs/>
          <w:kern w:val="0"/>
          <w:sz w:val="22"/>
        </w:rPr>
        <w:t>Experimental Approach: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 Efficacy of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on AD was evaluated in 2,4-dinitrofluorobenzene (DNFB) and carvacrol-induced dermatitis mouse models. Cytokine mRNA and serum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IgE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levels were examined using qPCR and ELISA, respectively. Voltage clamp recordings were used to measure currents mediated by transient receptor potential (TRP) channels. In silico docking, site-direct mutagenesis, and covalent modification were used to explore the binding pocket of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on TRPV3. </w:t>
      </w:r>
    </w:p>
    <w:p w14:paraId="669FF85F" w14:textId="77777777" w:rsidR="00645CBC" w:rsidRDefault="00413EE9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kern w:val="0"/>
          <w:szCs w:val="21"/>
        </w:rPr>
      </w:pPr>
      <w:r w:rsidRPr="007D511C">
        <w:rPr>
          <w:rFonts w:ascii="Times New Roman" w:eastAsia="宋体" w:hAnsi="Times New Roman" w:cs="Times New Roman"/>
          <w:b/>
          <w:bCs/>
          <w:kern w:val="0"/>
          <w:sz w:val="22"/>
        </w:rPr>
        <w:t xml:space="preserve">Key Results: 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Subcutaneous administration of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efficaciously suppresses DNFB and carvacrol-induced pruritus, epidermal hyperplasia and skin inflammation in wild type mice but has no additional benefit in </w:t>
      </w:r>
      <w:r w:rsidRPr="007D511C">
        <w:rPr>
          <w:rFonts w:ascii="Times New Roman" w:eastAsia="宋体" w:hAnsi="Times New Roman" w:cs="Times New Roman"/>
          <w:i/>
          <w:iCs/>
          <w:kern w:val="0"/>
          <w:sz w:val="22"/>
        </w:rPr>
        <w:t>Trpv3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 knockout mice in the carvacrol model.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is a potent and selective TRPV3 channel allosteric negative modulator with an apparent affinity of 1.18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μM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. Molecular docking coupled with site-direct mutagenesis and covalent modification of incorporated cysteine residues demonstrate that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targets the cavity formed between the pore helix and transmembrane helix S6. Moreover,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attenuates endogenous TRPV3 activity in human keratinocytes and inhibits carvacrol-induced proliferative and proinflammatory responses.</w:t>
      </w:r>
      <w:r w:rsidRPr="00426800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0A19130A" w14:textId="4EE29CA3" w:rsidR="00413EE9" w:rsidRPr="007D511C" w:rsidRDefault="00413EE9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kern w:val="0"/>
          <w:sz w:val="22"/>
        </w:rPr>
      </w:pPr>
      <w:r w:rsidRPr="007D511C">
        <w:rPr>
          <w:rFonts w:ascii="Times New Roman" w:eastAsia="宋体" w:hAnsi="Times New Roman" w:cs="Times New Roman"/>
          <w:b/>
          <w:bCs/>
          <w:kern w:val="0"/>
          <w:sz w:val="22"/>
        </w:rPr>
        <w:t>Conclusion and Implications: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 Collectively, these data demonstrate that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 xml:space="preserve"> ameliorates carvacrol-induced skin inflammation by directly inhibiting TRPV3, and TRPV3 represents a viable therapeutic target for AD treatment. </w:t>
      </w:r>
    </w:p>
    <w:p w14:paraId="6EB6CAE3" w14:textId="6CCD8F78" w:rsidR="00413EE9" w:rsidRDefault="00413EE9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kern w:val="0"/>
          <w:szCs w:val="21"/>
        </w:rPr>
      </w:pPr>
      <w:r w:rsidRPr="007D511C">
        <w:rPr>
          <w:rFonts w:ascii="Times New Roman" w:eastAsia="宋体" w:hAnsi="Times New Roman" w:cs="Times New Roman"/>
          <w:b/>
          <w:bCs/>
          <w:kern w:val="0"/>
          <w:sz w:val="22"/>
        </w:rPr>
        <w:t>Keywords:</w:t>
      </w:r>
      <w:r w:rsidR="00053BCE" w:rsidRPr="007D511C">
        <w:rPr>
          <w:rFonts w:ascii="Times New Roman" w:eastAsia="宋体" w:hAnsi="Times New Roman" w:cs="Times New Roman" w:hint="eastAsia"/>
          <w:b/>
          <w:bCs/>
          <w:kern w:val="0"/>
          <w:sz w:val="22"/>
        </w:rPr>
        <w:t xml:space="preserve"> </w:t>
      </w:r>
      <w:r w:rsidRPr="007D511C">
        <w:rPr>
          <w:rFonts w:ascii="Times New Roman" w:eastAsia="宋体" w:hAnsi="Times New Roman" w:cs="Times New Roman"/>
          <w:kern w:val="0"/>
          <w:sz w:val="22"/>
        </w:rPr>
        <w:t xml:space="preserve">atopic dermatitis, keratinocytes, </w:t>
      </w:r>
      <w:proofErr w:type="spellStart"/>
      <w:r w:rsidRPr="007D511C">
        <w:rPr>
          <w:rFonts w:ascii="Times New Roman" w:eastAsia="宋体" w:hAnsi="Times New Roman" w:cs="Times New Roman"/>
          <w:kern w:val="0"/>
          <w:sz w:val="22"/>
        </w:rPr>
        <w:t>scutellarein</w:t>
      </w:r>
      <w:proofErr w:type="spellEnd"/>
      <w:r w:rsidRPr="007D511C">
        <w:rPr>
          <w:rFonts w:ascii="Times New Roman" w:eastAsia="宋体" w:hAnsi="Times New Roman" w:cs="Times New Roman"/>
          <w:kern w:val="0"/>
          <w:sz w:val="22"/>
        </w:rPr>
        <w:t>, TRPV3</w:t>
      </w:r>
    </w:p>
    <w:p w14:paraId="2505D972" w14:textId="77777777" w:rsidR="00053BCE" w:rsidRPr="00053BCE" w:rsidRDefault="00053BCE" w:rsidP="007D511C">
      <w:pPr>
        <w:adjustRightInd w:val="0"/>
        <w:snapToGrid w:val="0"/>
        <w:spacing w:beforeLines="20" w:before="62"/>
        <w:rPr>
          <w:rFonts w:ascii="Times New Roman" w:eastAsia="宋体" w:hAnsi="Times New Roman" w:cs="Times New Roman"/>
          <w:b/>
          <w:bCs/>
          <w:kern w:val="0"/>
          <w:szCs w:val="21"/>
        </w:rPr>
      </w:pPr>
    </w:p>
    <w:p w14:paraId="01F2764A" w14:textId="2DB0FFAE" w:rsidR="00413EE9" w:rsidRPr="00413EE9" w:rsidRDefault="007D511C" w:rsidP="007D511C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T</w:t>
      </w:r>
      <w:r>
        <w:rPr>
          <w:rFonts w:ascii="Times New Roman" w:eastAsia="宋体" w:hAnsi="Times New Roman" w:cs="Times New Roman"/>
          <w:kern w:val="0"/>
          <w:szCs w:val="21"/>
        </w:rPr>
        <w:t xml:space="preserve">itle: </w:t>
      </w:r>
      <w:r>
        <w:rPr>
          <w:rFonts w:ascii="Times New Roman" w:eastAsia="宋体" w:hAnsi="Times New Roman" w:cs="Times New Roman" w:hint="eastAsia"/>
          <w:kern w:val="0"/>
          <w:szCs w:val="21"/>
        </w:rPr>
        <w:t>Font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size:</w:t>
      </w:r>
      <w:r>
        <w:rPr>
          <w:rFonts w:ascii="Times New Roman" w:eastAsia="宋体" w:hAnsi="Times New Roman" w:cs="Times New Roman" w:hint="eastAsia"/>
          <w:kern w:val="0"/>
          <w:szCs w:val="21"/>
        </w:rPr>
        <w:t>16</w:t>
      </w:r>
      <w:r>
        <w:rPr>
          <w:rFonts w:ascii="Times New Roman" w:eastAsia="宋体" w:hAnsi="Times New Roman" w:cs="Times New Roman"/>
          <w:kern w:val="0"/>
          <w:szCs w:val="21"/>
        </w:rPr>
        <w:t>,</w:t>
      </w:r>
      <w:r w:rsidR="004E69D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Times New Roman</w:t>
      </w:r>
    </w:p>
    <w:p w14:paraId="4DB0A37D" w14:textId="206C4E40" w:rsidR="00413EE9" w:rsidRPr="00413EE9" w:rsidRDefault="007D511C" w:rsidP="007D511C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A</w:t>
      </w:r>
      <w:r>
        <w:rPr>
          <w:rFonts w:ascii="Times New Roman" w:eastAsia="宋体" w:hAnsi="Times New Roman" w:cs="Times New Roman"/>
          <w:kern w:val="0"/>
          <w:szCs w:val="21"/>
        </w:rPr>
        <w:t>uthors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kern w:val="0"/>
          <w:szCs w:val="21"/>
        </w:rPr>
        <w:t>Font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size: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>
        <w:rPr>
          <w:rFonts w:ascii="Times New Roman" w:eastAsia="宋体" w:hAnsi="Times New Roman" w:cs="Times New Roman"/>
          <w:kern w:val="0"/>
          <w:szCs w:val="21"/>
        </w:rPr>
        <w:t>0,</w:t>
      </w:r>
      <w:r w:rsidR="004E69D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Times New Roman</w:t>
      </w:r>
      <w:r>
        <w:rPr>
          <w:rFonts w:ascii="Times New Roman" w:eastAsia="宋体" w:hAnsi="Times New Roman" w:cs="Times New Roman" w:hint="eastAsia"/>
          <w:kern w:val="0"/>
          <w:szCs w:val="21"/>
        </w:rPr>
        <w:t>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14:paraId="0C7CCB81" w14:textId="148036B7" w:rsidR="00413EE9" w:rsidRPr="00413EE9" w:rsidRDefault="007D511C" w:rsidP="007D511C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A</w:t>
      </w:r>
      <w:r>
        <w:rPr>
          <w:rFonts w:ascii="Times New Roman" w:eastAsia="宋体" w:hAnsi="Times New Roman" w:cs="Times New Roman"/>
          <w:kern w:val="0"/>
          <w:szCs w:val="21"/>
        </w:rPr>
        <w:t>ffiliation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kern w:val="0"/>
          <w:szCs w:val="21"/>
        </w:rPr>
        <w:t>Font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size: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>
        <w:rPr>
          <w:rFonts w:ascii="Times New Roman" w:eastAsia="宋体" w:hAnsi="Times New Roman" w:cs="Times New Roman"/>
          <w:kern w:val="0"/>
          <w:szCs w:val="21"/>
        </w:rPr>
        <w:t>0</w:t>
      </w:r>
      <w:r>
        <w:rPr>
          <w:rFonts w:ascii="Times New Roman" w:eastAsia="宋体" w:hAnsi="Times New Roman" w:cs="Times New Roman"/>
          <w:kern w:val="0"/>
          <w:szCs w:val="21"/>
        </w:rPr>
        <w:t>,</w:t>
      </w:r>
      <w:r w:rsidR="004E69D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Times New Roman</w:t>
      </w:r>
      <w:r>
        <w:rPr>
          <w:rFonts w:ascii="Times New Roman" w:eastAsia="宋体" w:hAnsi="Times New Roman" w:cs="Times New Roman" w:hint="eastAsia"/>
          <w:kern w:val="0"/>
          <w:szCs w:val="21"/>
        </w:rPr>
        <w:t>,</w:t>
      </w:r>
      <w:r>
        <w:rPr>
          <w:rFonts w:ascii="Times New Roman" w:eastAsia="宋体" w:hAnsi="Times New Roman" w:cs="Times New Roman"/>
          <w:kern w:val="0"/>
          <w:szCs w:val="21"/>
        </w:rPr>
        <w:t xml:space="preserve"> </w:t>
      </w:r>
      <w:r w:rsidRPr="007D511C">
        <w:rPr>
          <w:rFonts w:ascii="Times New Roman" w:eastAsia="宋体" w:hAnsi="Times New Roman" w:cs="Times New Roman" w:hint="eastAsia"/>
          <w:i/>
          <w:iCs/>
          <w:kern w:val="0"/>
          <w:szCs w:val="21"/>
        </w:rPr>
        <w:t>I</w:t>
      </w:r>
      <w:r w:rsidRPr="007D511C">
        <w:rPr>
          <w:rFonts w:ascii="Times New Roman" w:eastAsia="宋体" w:hAnsi="Times New Roman" w:cs="Times New Roman"/>
          <w:i/>
          <w:iCs/>
          <w:kern w:val="0"/>
          <w:szCs w:val="21"/>
        </w:rPr>
        <w:t>talic</w:t>
      </w:r>
    </w:p>
    <w:p w14:paraId="09B93FA2" w14:textId="23A02C42" w:rsidR="00413EE9" w:rsidRDefault="007D511C" w:rsidP="007D511C">
      <w:pPr>
        <w:adjustRightInd w:val="0"/>
        <w:snapToGrid w:val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>M</w:t>
      </w:r>
      <w:r>
        <w:rPr>
          <w:rFonts w:ascii="Times New Roman" w:eastAsia="宋体" w:hAnsi="Times New Roman" w:cs="Times New Roman"/>
          <w:kern w:val="0"/>
          <w:szCs w:val="21"/>
        </w:rPr>
        <w:t>ain Text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：</w:t>
      </w:r>
      <w:r>
        <w:rPr>
          <w:rFonts w:ascii="Times New Roman" w:eastAsia="宋体" w:hAnsi="Times New Roman" w:cs="Times New Roman" w:hint="eastAsia"/>
          <w:kern w:val="0"/>
          <w:szCs w:val="21"/>
        </w:rPr>
        <w:t>Font</w:t>
      </w:r>
      <w:r>
        <w:rPr>
          <w:rFonts w:ascii="Times New Roman" w:eastAsia="宋体" w:hAnsi="Times New Roman" w:cs="Times New Roman"/>
          <w:kern w:val="0"/>
          <w:szCs w:val="21"/>
        </w:rPr>
        <w:t xml:space="preserve"> size:</w:t>
      </w:r>
      <w:r>
        <w:rPr>
          <w:rFonts w:ascii="Times New Roman" w:eastAsia="宋体" w:hAnsi="Times New Roman" w:cs="Times New Roman" w:hint="eastAsia"/>
          <w:kern w:val="0"/>
          <w:szCs w:val="21"/>
        </w:rPr>
        <w:t>1</w:t>
      </w:r>
      <w:r>
        <w:rPr>
          <w:rFonts w:ascii="Times New Roman" w:eastAsia="宋体" w:hAnsi="Times New Roman" w:cs="Times New Roman"/>
          <w:kern w:val="0"/>
          <w:szCs w:val="21"/>
        </w:rPr>
        <w:t>1,</w:t>
      </w:r>
      <w:r w:rsidR="004E69D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413EE9" w:rsidRPr="00413EE9">
        <w:rPr>
          <w:rFonts w:ascii="Times New Roman" w:eastAsia="宋体" w:hAnsi="Times New Roman" w:cs="Times New Roman"/>
          <w:kern w:val="0"/>
          <w:szCs w:val="21"/>
        </w:rPr>
        <w:t>Times New Roma</w:t>
      </w:r>
      <w:r>
        <w:rPr>
          <w:rFonts w:ascii="Times New Roman" w:eastAsia="宋体" w:hAnsi="Times New Roman" w:cs="Times New Roman"/>
          <w:kern w:val="0"/>
          <w:szCs w:val="21"/>
        </w:rPr>
        <w:t>n, 250 words limit</w:t>
      </w:r>
    </w:p>
    <w:p w14:paraId="29D42260" w14:textId="6ED9F4C6" w:rsidR="00645CBC" w:rsidRPr="00053BCE" w:rsidRDefault="007D511C" w:rsidP="007D511C">
      <w:pPr>
        <w:adjustRightInd w:val="0"/>
        <w:snapToGrid w:val="0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 xml:space="preserve">All the texts are in single space. Before paragraph </w:t>
      </w:r>
      <w:proofErr w:type="gramStart"/>
      <w:r>
        <w:rPr>
          <w:rFonts w:ascii="Times New Roman" w:eastAsia="宋体" w:hAnsi="Times New Roman" w:cs="Times New Roman"/>
          <w:kern w:val="0"/>
          <w:szCs w:val="21"/>
        </w:rPr>
        <w:t>0.2 line</w:t>
      </w:r>
      <w:proofErr w:type="gramEnd"/>
      <w:r>
        <w:rPr>
          <w:rFonts w:ascii="Times New Roman" w:eastAsia="宋体" w:hAnsi="Times New Roman" w:cs="Times New Roman"/>
          <w:kern w:val="0"/>
          <w:szCs w:val="21"/>
        </w:rPr>
        <w:t xml:space="preserve"> space.</w:t>
      </w:r>
    </w:p>
    <w:sectPr w:rsidR="00645CBC" w:rsidRPr="0005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6"/>
    <w:rsid w:val="00053BCE"/>
    <w:rsid w:val="001E01AF"/>
    <w:rsid w:val="00413EE9"/>
    <w:rsid w:val="00426800"/>
    <w:rsid w:val="004E69D5"/>
    <w:rsid w:val="00645CBC"/>
    <w:rsid w:val="007D511C"/>
    <w:rsid w:val="008D21D6"/>
    <w:rsid w:val="00B1237C"/>
    <w:rsid w:val="00B61170"/>
    <w:rsid w:val="00C125A9"/>
    <w:rsid w:val="00E4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EC76"/>
  <w15:chartTrackingRefBased/>
  <w15:docId w15:val="{BBA3C7A2-C210-475F-AB49-AEAB8CF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EE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ycao@cp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 Zhao</dc:creator>
  <cp:keywords/>
  <dc:description/>
  <cp:lastModifiedBy>zhengyucao</cp:lastModifiedBy>
  <cp:revision>3</cp:revision>
  <dcterms:created xsi:type="dcterms:W3CDTF">2023-06-08T04:06:00Z</dcterms:created>
  <dcterms:modified xsi:type="dcterms:W3CDTF">2023-06-08T04:19:00Z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442311025f1c288a11d1de3fc5ea8e36951a7ead3ffd38d301ce07916bda0949</vt:lpwstr>
  </property>
</Properties>
</file>